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kobiet ma problem z rozmawianiem w pracy o zarobkach. Nowe dane „Bizneswoman Roku: Polki i przedsiębiorczość 2023”</w:t>
      </w:r>
    </w:p>
    <w:p>
      <w:pPr>
        <w:spacing w:before="0" w:after="500" w:line="264" w:lineRule="auto"/>
      </w:pPr>
      <w:r>
        <w:rPr>
          <w:rFonts w:ascii="calibri" w:hAnsi="calibri" w:eastAsia="calibri" w:cs="calibri"/>
          <w:sz w:val="36"/>
          <w:szCs w:val="36"/>
          <w:b/>
        </w:rPr>
        <w:t xml:space="preserve">Blisko dwie na trzy ankietowane nie satysfakcjonują ich zarobki, a co czwarta deklaruje, że zdecydowanie ma problem z negocjowaniem wynagrodzenia – wynika z najnowszego badania Sukcesu Pisanego Szminką. Aż 45 proc. respondentek na pracę poświęca tygodniowo więcej czasu niż przewiduje pełen etat, a 41 proc. pracuje więcej niż przed rokiem. Dodatkowo okazuje się, że większość badanych prowadzących własną firmę obecne przepisy prawno-podatkowe postrzega jako blokadę.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zarobków u ⅓ kobiet, a 64 proc. usatysfakcjonowana z dochodów</w:t>
      </w:r>
    </w:p>
    <w:p>
      <w:pPr>
        <w:spacing w:before="0" w:after="300"/>
      </w:pPr>
      <w:r>
        <w:rPr>
          <w:rFonts w:ascii="calibri" w:hAnsi="calibri" w:eastAsia="calibri" w:cs="calibri"/>
          <w:sz w:val="24"/>
          <w:szCs w:val="24"/>
        </w:rPr>
        <w:t xml:space="preserve">Z najnowszego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pod wpływem inflacji zarobki 18 proc. respondentek spadły znacznie</w:t>
      </w:r>
      <w:r>
        <w:rPr>
          <w:rFonts w:ascii="calibri" w:hAnsi="calibri" w:eastAsia="calibri" w:cs="calibri"/>
          <w:sz w:val="24"/>
          <w:szCs w:val="24"/>
        </w:rPr>
        <w:t xml:space="preserve">, 12 proc. – nieznacznie, a co trzeciej się nie zmieniły. Zarobki co czwartej badanej wzrosły nieznacznie, a jedynie 2 proc. wzrosły znacznie. </w:t>
      </w:r>
      <w:r>
        <w:rPr>
          <w:rFonts w:ascii="calibri" w:hAnsi="calibri" w:eastAsia="calibri" w:cs="calibri"/>
          <w:sz w:val="24"/>
          <w:szCs w:val="24"/>
          <w:b/>
        </w:rPr>
        <w:t xml:space="preserve">Aż 64 proc. ankietowanych deklaruje, że ich zarobki nie są dla nich satysfakcjonujące</w:t>
      </w:r>
      <w:r>
        <w:rPr>
          <w:rFonts w:ascii="calibri" w:hAnsi="calibri" w:eastAsia="calibri" w:cs="calibri"/>
          <w:sz w:val="24"/>
          <w:szCs w:val="24"/>
        </w:rPr>
        <w:t xml:space="preserve"> (35 proc. – zdecydowanie nie, 29 proc. – raczej nie). Jedynie co trzecia respondentka uczestnicząca w badaniu jest usatysfakcjonowana ze swoich zarobków.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Jedynie co trzecia badana nie ma trudności z negocjowaniem zarobków</w:t>
      </w:r>
    </w:p>
    <w:p>
      <w:pPr>
        <w:spacing w:before="0" w:after="300"/>
      </w:pPr>
      <w:r>
        <w:rPr>
          <w:rFonts w:ascii="calibri" w:hAnsi="calibri" w:eastAsia="calibri" w:cs="calibri"/>
          <w:sz w:val="24"/>
          <w:szCs w:val="24"/>
        </w:rPr>
        <w:t xml:space="preserve">Wyniki badania wskazują, że aż </w:t>
      </w:r>
      <w:r>
        <w:rPr>
          <w:rFonts w:ascii="calibri" w:hAnsi="calibri" w:eastAsia="calibri" w:cs="calibri"/>
          <w:sz w:val="24"/>
          <w:szCs w:val="24"/>
          <w:b/>
        </w:rPr>
        <w:t xml:space="preserve">58 proc. respondentek przyznaje, że ma problemy z rozmawianiem w pracy o zarobkach</w:t>
      </w:r>
      <w:r>
        <w:rPr>
          <w:rFonts w:ascii="calibri" w:hAnsi="calibri" w:eastAsia="calibri" w:cs="calibri"/>
          <w:sz w:val="24"/>
          <w:szCs w:val="24"/>
        </w:rPr>
        <w:t xml:space="preserve">, np. negocjowaniem wynagrodzenia (26 proc. – zdecydowanie tak, 32 proc. – raczej tak). Blisko co trzecia ankietowana deklaruje, że nie ma problemu z poruszaniem w pracy tematu wynagrodzenia (10 proc. – zdecydowanie nie, 22 proc. – raczej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Polacy często mają problem z mówieniem o pieniądzach, wpojono nam, że świadczy to o materializmie i małostkowości. Towarzyszy nam także stereotyp, że ekonomia i finanse to tematy typowo męskie – i widać to po odpowiedziach uczestniczek badania towarzyszącego XV edycji konkursu Bizneswoman Roku. Większość respondentek przyznaje, że ma problem z negocjowaniem wynagrodzenia. Najwyższy czas, abyśmy pozbyły się tego szkodliwego przeświadczenia – za solidnie wykonaną pracę, należy się uczciwe wynagrodzenie i rozmowa o nim nie powinna stanowić dla żadnej z nas trudności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Izabela Tworzydło, Dyrektorka Departamentu Komunikacji Korporacyjnej Banku BNP Paribas, partnera kategorii Female Champion of Change.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Dwie na pięć badanych pracuje więcej niż rok temu</w:t>
      </w:r>
    </w:p>
    <w:p>
      <w:pPr>
        <w:spacing w:before="0" w:after="300"/>
      </w:pPr>
      <w:r>
        <w:rPr>
          <w:rFonts w:ascii="calibri" w:hAnsi="calibri" w:eastAsia="calibri" w:cs="calibri"/>
          <w:sz w:val="24"/>
          <w:szCs w:val="24"/>
        </w:rPr>
        <w:t xml:space="preserve">Wyniki badania wskazują, że praca w wymiarze większym, niż przewiduje pełen etat, nie jest rzadkością. Aż </w:t>
      </w:r>
      <w:r>
        <w:rPr>
          <w:rFonts w:ascii="calibri" w:hAnsi="calibri" w:eastAsia="calibri" w:cs="calibri"/>
          <w:sz w:val="24"/>
          <w:szCs w:val="24"/>
          <w:b/>
        </w:rPr>
        <w:t xml:space="preserve">45 proc. ankietowanych spędza w pracy powyżej 40 godzin tygodniowo</w:t>
      </w:r>
      <w:r>
        <w:rPr>
          <w:rFonts w:ascii="calibri" w:hAnsi="calibri" w:eastAsia="calibri" w:cs="calibri"/>
          <w:sz w:val="24"/>
          <w:szCs w:val="24"/>
        </w:rPr>
        <w:t xml:space="preserve">. Jedynie 36 proc. respondentek pracuje między 30 a 40 godzin. Z roku na rok pracujemy coraz więcej – okazuje się, że aż </w:t>
      </w:r>
      <w:r>
        <w:rPr>
          <w:rFonts w:ascii="calibri" w:hAnsi="calibri" w:eastAsia="calibri" w:cs="calibri"/>
          <w:sz w:val="24"/>
          <w:szCs w:val="24"/>
          <w:b/>
        </w:rPr>
        <w:t xml:space="preserve">22 proc. na pracę poświęca znacznie więcej czasu niż przed rokiem</w:t>
      </w:r>
      <w:r>
        <w:rPr>
          <w:rFonts w:ascii="calibri" w:hAnsi="calibri" w:eastAsia="calibri" w:cs="calibri"/>
          <w:sz w:val="24"/>
          <w:szCs w:val="24"/>
        </w:rPr>
        <w:t xml:space="preserve">, a 19 proc. pracuje nieco więcej. Ponad ⅓ (36 proc.) respondentek pracuje tyle samo, a zaledwie 16 proc. badanych pracuje mniej niż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na cztery badane przedsiębiorczynie w obecnych przepisach widzą dużą blokadę</w:t>
      </w:r>
    </w:p>
    <w:p>
      <w:pPr>
        <w:spacing w:before="0" w:after="300"/>
      </w:pPr>
      <w:r>
        <w:rPr>
          <w:rFonts w:ascii="calibri" w:hAnsi="calibri" w:eastAsia="calibri" w:cs="calibri"/>
          <w:sz w:val="24"/>
          <w:szCs w:val="24"/>
        </w:rPr>
        <w:t xml:space="preserve">Uczestniczki badania, które już prowadzą swoją firmę, zostały zapytane o to, czy obecnie obowiązujące przepisy prawno-podatkowe odczuwają jako dużą blokadę. Aż 52 proc. respondentek na to pytanie odpowiedziało „zdecydowanie tak”, a 24 proc. – „raczej tak”. Oznacza to, że w sumie ponad ¾ badanych przedsiębiorczyń w obecnie obowiązujących przepisach prawno-podatkowe widzi ograniczenie. Jedynie 14 proc. ankietowanych nie postrzega obecnych przepisów jako trudność.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Wyniki przeprowadzonego przez nas badania wskazują, że co czwarta respondentka prowadząca firmę może liczyć na wsparcie finansowe ze strony bliskich. To budujące, choć jednocześnie aż 47 proc. ankietowanych przedsiębiorczyń nie może liczyć na tego typu pomoc ze strony najbliższych. „Trudne czasy tworzą silnych ludzi, silni ludzie tworzą dobre czasy” – ta sentencja bardzo dobrze obrazuje współczesny wizerunek przedsiębiorczości Polek, które mimo trudności co roku przedstawiają nam swoje niezwykle ciekawe i innowacyjne projekty – </w:t>
      </w:r>
      <w:r>
        <w:rPr>
          <w:rFonts w:ascii="calibri" w:hAnsi="calibri" w:eastAsia="calibri" w:cs="calibri"/>
          <w:sz w:val="24"/>
          <w:szCs w:val="24"/>
        </w:rPr>
        <w:t xml:space="preserve">dodaje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Jako pierwszy konkurs tego typu nagradzamy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Zgłoszenia konkursowe przyjmowane są do 3 stycznia 2024 roku.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12/Bizneswoman-Roku-2023-Raport-cz.-II.pdf" TargetMode="External"/><Relationship Id="rId8" Type="http://schemas.openxmlformats.org/officeDocument/2006/relationships/hyperlink" Target="https://bizneswomanroku.pl/"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2025-11-03T13:51:27+01:00</dcterms:created>
  <dcterms:modified xsi:type="dcterms:W3CDTF">2025-11-03T13:51:27+01:00</dcterms:modified>
</cp:coreProperties>
</file>

<file path=docProps/custom.xml><?xml version="1.0" encoding="utf-8"?>
<Properties xmlns="http://schemas.openxmlformats.org/officeDocument/2006/custom-properties" xmlns:vt="http://schemas.openxmlformats.org/officeDocument/2006/docPropsVTypes"/>
</file>